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1200"/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548640</wp:posOffset>
            </wp:positionH>
            <wp:positionV relativeFrom="page">
              <wp:posOffset>365760</wp:posOffset>
            </wp:positionV>
            <wp:extent cx="1005840" cy="1005840"/>
            <wp:effectExtent l="0" t="0" r="0" b="0"/>
            <wp:wrapNone/>
            <wp:docPr id="1" name="HQLogo"/>
            <wp:cNvGraphicFramePr xmlns:a="http://schemas.openxmlformats.org/drawingml/2006/main">
              <a:graphicFrameLocks noChangeAspect="1"/>
            </wp:cNvGraphicFramePr>
            <a:graphic xmlns:a="http://schemas.openxmlformats.org/drawingml/2006/main" xmlns:pic="http://schemas.openxmlformats.org/drawingml/2006/picture">
              <a:graphicData uri="http://schemas.openxmlformats.org/drawingml/2006/picture">
                <pic:pic>
                  <pic:nvPicPr>
                    <pic:cNvPr id="0" name="logo_cover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spacing w:after="180" w:before="0"/>
        <w:jc w:val="center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HSC</w:t>
      </w: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sz w:val="52"/>
          <w:szCs w:val="52"/>
        </w:rPr>
        <w:t xml:space="preserve">Chinese in Context</w:t>
      </w:r>
    </w:p>
    <w:p>
      <w:pPr>
        <w:spacing w:after="720" w:before="0"/>
        <w:jc w:val="center"/>
      </w:pPr>
      <w:r>
        <w:rPr>
          <w:rFonts w:ascii="Arial" w:cs="Arial" w:eastAsia="Arial" w:hAnsi="Arial"/>
          <w:sz w:val="24"/>
          <w:szCs w:val="24"/>
        </w:rPr>
        <w:t xml:space="preserve">2026 Trial Examination — Set 1</w:t>
      </w:r>
    </w:p>
    <w:p>
      <w:pPr>
        <w:spacing w:after="120" w:before="0"/>
        <w:jc w:val="center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Section I: Processing and responding</w:t>
      </w:r>
    </w:p>
    <w:p>
      <w:pPr>
        <w:spacing w:after="360" w:before="0"/>
        <w:jc w:val="center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Transcript of Listening Texts</w:t>
      </w:r>
    </w:p>
    <w:p>
      <w:pPr>
        <w:spacing w:after="360" w:before="0"/>
        <w:jc w:val="center"/>
      </w:pPr>
      <w:r>
        <w:rPr>
          <w:rFonts w:ascii="Arial" w:cs="Arial" w:eastAsia="Arial" w:hAnsi="Arial"/>
          <w:sz w:val="22"/>
          <w:szCs w:val="22"/>
        </w:rPr>
        <w:t xml:space="preserve">— Text 1, Text 2, Text 3A —</w:t>
      </w:r>
    </w:p>
    <w:p>
      <w:pPr>
        <w:spacing w:after="0" w:before="720"/>
      </w:pPr>
    </w:p>
    <w:p>
      <w:pPr>
        <w:spacing w:after="60" w:before="0"/>
        <w:jc w:val="center"/>
      </w:pPr>
      <w:r>
        <w:rPr>
          <w:rFonts w:ascii="Arial" w:cs="Arial" w:eastAsia="Arial" w:hAnsi="Arial"/>
          <w:i/>
          <w:iCs/>
          <w:sz w:val="22"/>
          <w:szCs w:val="22"/>
        </w:rPr>
        <w:t xml:space="preserve">This transcript is for the use of markers and recording personnel only.</w:t>
      </w:r>
    </w:p>
    <w:p>
      <w:pPr>
        <w:spacing w:after="0" w:before="0"/>
        <w:jc w:val="center"/>
      </w:pPr>
      <w:r>
        <w:rPr>
          <w:rFonts w:ascii="Arial" w:cs="Arial" w:eastAsia="Arial" w:hAnsi="Arial"/>
          <w:b/>
          <w:bCs/>
          <w:i/>
          <w:iCs/>
          <w:sz w:val="22"/>
          <w:szCs w:val="22"/>
        </w:rPr>
        <w:t xml:space="preserve">It must NOT be distributed to candidates.</w:t>
      </w:r>
    </w:p>
    <w:p>
      <w:pPr>
        <w:sectPr>
          <w:pgSz w:w="11906" w:h="16838" w:orient="portrait"/>
          <w:pgMar w:top="1440" w:right="1440" w:bottom="1440" w:left="1440" w:header="708" w:footer="708" w:gutter="0"/>
          <w:pgNumType/>
          <w:docGrid w:linePitch="360"/>
        </w:sectPr>
      </w:pPr>
    </w:p>
    <w:p>
      <w:pPr>
        <w:spacing w:after="180" w:before="240"/>
        <w:jc w:val="center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Familiarisation Text</w:t>
      </w:r>
    </w:p>
    <w:p>
      <w:pPr>
        <w:spacing w:after="180" w:before="0"/>
        <w:jc w:val="center"/>
      </w:pPr>
      <w:r>
        <w:rPr>
          <w:rFonts w:ascii="Arial" w:cs="Arial" w:eastAsia="Arial" w:hAnsi="Arial"/>
          <w:i/>
          <w:iCs/>
          <w:sz w:val="20"/>
          <w:szCs w:val="20"/>
        </w:rPr>
        <w:t xml:space="preserve">[Not assessed — short exchange to settle candidates before timed texts begin.]</w:t>
      </w:r>
    </w:p>
    <w:tbl>
      <w:tblPr>
        <w:tblW w:type="dxa" w:w="8626"/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none" w:sz="0"/>
          <w:insideV w:val="none" w:sz="0"/>
        </w:tblBorders>
      </w:tblPr>
      <w:tblGrid>
        <w:gridCol w:w="100"/>
      </w:tblGrid>
      <w:tr>
        <w:tc>
          <w:tcPr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tcMar>
              <w:top w:type="dxa" w:w="200"/>
              <w:left w:type="dxa" w:w="320"/>
              <w:bottom w:type="dxa" w:w="200"/>
              <w:right w:type="dxa" w:w="320"/>
            </w:tcMar>
          </w:tcPr>
          <w:p>
            <w:pPr>
              <w:tabs>
                <w:tab w:val="left" w:pos="1600"/>
              </w:tabs>
              <w:spacing w:after="80" w:before="80" w:line="360"/>
              <w:ind w:left="1600" w:hanging="1600"/>
            </w:pPr>
            <w:r>
              <w:rPr>
                <w:rFonts w:ascii="Arial" w:cs="Arial" w:eastAsia="Arial" w:hAnsi="Arial"/>
                <w:b/>
                <w:bCs/>
                <w:smallCaps/>
                <w:sz w:val="22"/>
                <w:szCs w:val="22"/>
              </w:rPr>
              <w:t xml:space="preserve">Male</w:t>
            </w:r>
            <w:r>
              <w:t xml:space="preserve">:	</w:t>
            </w:r>
            <w:r>
              <w:rPr>
                <w:rFonts w:ascii="楷体" w:cs="楷体" w:eastAsia="楷体" w:hAnsi="楷体"/>
                <w:sz w:val="24"/>
                <w:szCs w:val="24"/>
              </w:rPr>
              <w:t xml:space="preserve">老师，我想学中文，中文难学吗?</w:t>
            </w:r>
          </w:p>
          <w:p>
            <w:pPr>
              <w:tabs>
                <w:tab w:val="left" w:pos="1600"/>
              </w:tabs>
              <w:spacing w:after="80" w:before="80" w:line="360"/>
              <w:ind w:left="1600" w:hanging="1600"/>
            </w:pPr>
            <w:r>
              <w:rPr>
                <w:rFonts w:ascii="Arial" w:cs="Arial" w:eastAsia="Arial" w:hAnsi="Arial"/>
                <w:b/>
                <w:bCs/>
                <w:smallCaps/>
                <w:sz w:val="22"/>
                <w:szCs w:val="22"/>
              </w:rPr>
              <w:t xml:space="preserve">Female</w:t>
            </w:r>
            <w:r>
              <w:t xml:space="preserve">:	</w:t>
            </w:r>
            <w:r>
              <w:rPr>
                <w:rFonts w:ascii="楷体" w:cs="楷体" w:eastAsia="楷体" w:hAnsi="楷体"/>
                <w:sz w:val="24"/>
                <w:szCs w:val="24"/>
              </w:rPr>
              <w:t xml:space="preserve">开始的时候，也许会觉得难，但是学到后面就容易了。</w:t>
            </w:r>
          </w:p>
          <w:p>
            <w:pPr>
              <w:tabs>
                <w:tab w:val="left" w:pos="1600"/>
              </w:tabs>
              <w:spacing w:after="80" w:before="80" w:line="360"/>
              <w:ind w:left="1600" w:hanging="1600"/>
            </w:pPr>
            <w:r>
              <w:rPr>
                <w:rFonts w:ascii="Arial" w:cs="Arial" w:eastAsia="Arial" w:hAnsi="Arial"/>
                <w:b/>
                <w:bCs/>
                <w:smallCaps/>
                <w:sz w:val="22"/>
                <w:szCs w:val="22"/>
              </w:rPr>
              <w:t xml:space="preserve">Male</w:t>
            </w:r>
            <w:r>
              <w:t xml:space="preserve">:	</w:t>
            </w:r>
            <w:r>
              <w:rPr>
                <w:rFonts w:ascii="楷体" w:cs="楷体" w:eastAsia="楷体" w:hAnsi="楷体"/>
                <w:sz w:val="24"/>
                <w:szCs w:val="24"/>
              </w:rPr>
              <w:t xml:space="preserve">太好了。那么，我就从后面开始学吧。</w:t>
            </w:r>
          </w:p>
          <w:p>
            <w:pPr>
              <w:tabs>
                <w:tab w:val="left" w:pos="1600"/>
              </w:tabs>
              <w:spacing w:after="80" w:before="80" w:line="360"/>
              <w:ind w:left="1600" w:hanging="1600"/>
            </w:pPr>
            <w:r>
              <w:rPr>
                <w:rFonts w:ascii="Arial" w:cs="Arial" w:eastAsia="Arial" w:hAnsi="Arial"/>
                <w:b/>
                <w:bCs/>
                <w:smallCaps/>
                <w:sz w:val="22"/>
                <w:szCs w:val="22"/>
              </w:rPr>
              <w:t xml:space="preserve">Female</w:t>
            </w:r>
            <w:r>
              <w:t xml:space="preserve">:	</w:t>
            </w:r>
            <w:r>
              <w:rPr>
                <w:rFonts w:ascii="楷体" w:cs="楷体" w:eastAsia="楷体" w:hAnsi="楷体"/>
                <w:sz w:val="24"/>
                <w:szCs w:val="24"/>
              </w:rPr>
              <w:t xml:space="preserve">啊?</w:t>
            </w:r>
          </w:p>
        </w:tc>
      </w:tr>
    </w:tbl>
    <w:p>
      <w:pPr>
        <w:spacing w:after="0" w:before="360"/>
      </w:pPr>
    </w:p>
    <w:p>
      <w:pPr>
        <w:spacing w:after="18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Question 1, Text 1 — Conversation</w:t>
      </w:r>
    </w:p>
    <w:p>
      <w:pPr>
        <w:tabs>
          <w:tab w:val="left" w:pos="1600"/>
        </w:tabs>
        <w:spacing w:after="80" w:before="80" w:line="360"/>
        <w:ind w:left="1600" w:hanging="160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 1</w:t>
      </w:r>
      <w:r>
        <w:t xml:space="preserve">:	</w:t>
      </w:r>
      <w:r>
        <w:rPr>
          <w:rFonts w:ascii="楷体" w:cs="楷体" w:eastAsia="楷体" w:hAnsi="楷体"/>
          <w:sz w:val="24"/>
          <w:szCs w:val="24"/>
        </w:rPr>
        <w:t xml:space="preserve">奶奶，今年的春节我们就这样简单地吃个饭就过了吗？没有去外公家拜年，也没看春节晚会，连饺子都没包……</w:t>
      </w:r>
    </w:p>
    <w:p>
      <w:pPr>
        <w:tabs>
          <w:tab w:val="left" w:pos="1600"/>
        </w:tabs>
        <w:spacing w:after="80" w:before="80" w:line="360"/>
        <w:ind w:left="1600" w:hanging="160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 2</w:t>
      </w:r>
      <w:r>
        <w:t xml:space="preserve">:	</w:t>
      </w:r>
      <w:r>
        <w:rPr>
          <w:rFonts w:ascii="楷体" w:cs="楷体" w:eastAsia="楷体" w:hAnsi="楷体"/>
          <w:sz w:val="24"/>
          <w:szCs w:val="24"/>
        </w:rPr>
        <w:t xml:space="preserve">小芳啊，这就是我担心的事。你们这一代在澳洲长大，把我们的传统都丢得差不多了。我小时候，春节是一年中最热闹的日子，全家老小聚在一起，包饺子、贴春联、放鞭炮，那种喜庆的味道，是我一辈子都忘不了的。</w:t>
      </w:r>
    </w:p>
    <w:p>
      <w:pPr>
        <w:tabs>
          <w:tab w:val="left" w:pos="1600"/>
        </w:tabs>
        <w:spacing w:after="80" w:before="80" w:line="360"/>
        <w:ind w:left="1600" w:hanging="160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 1</w:t>
      </w:r>
      <w:r>
        <w:t xml:space="preserve">:	</w:t>
      </w:r>
      <w:r>
        <w:rPr>
          <w:rFonts w:ascii="楷体" w:cs="楷体" w:eastAsia="楷体" w:hAnsi="楷体"/>
          <w:sz w:val="24"/>
          <w:szCs w:val="24"/>
        </w:rPr>
        <w:t xml:space="preserve">可是奶奶，澳洲跟中国不一样啊。学校还要上课，大家工作也很忙，没办法像在中国那样过年。</w:t>
      </w:r>
    </w:p>
    <w:p>
      <w:pPr>
        <w:tabs>
          <w:tab w:val="left" w:pos="1600"/>
        </w:tabs>
        <w:spacing w:after="80" w:before="80" w:line="360"/>
        <w:ind w:left="1600" w:hanging="160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 2</w:t>
      </w:r>
      <w:r>
        <w:t xml:space="preserve">:	</w:t>
      </w:r>
      <w:r>
        <w:rPr>
          <w:rFonts w:ascii="楷体" w:cs="楷体" w:eastAsia="楷体" w:hAnsi="楷体"/>
          <w:sz w:val="24"/>
          <w:szCs w:val="24"/>
        </w:rPr>
        <w:t xml:space="preserve">我明白。可是节日的精神不只是热闹，更是一种文化认同。如果连最重要的春节都不重视，过几年，我们就真的成了“没有根的浮萍”了。</w:t>
      </w:r>
    </w:p>
    <w:p>
      <w:pPr>
        <w:tabs>
          <w:tab w:val="left" w:pos="1600"/>
        </w:tabs>
        <w:spacing w:after="80" w:before="80" w:line="360"/>
        <w:ind w:left="1600" w:hanging="160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 1</w:t>
      </w:r>
      <w:r>
        <w:t xml:space="preserve">:	</w:t>
      </w:r>
      <w:r>
        <w:rPr>
          <w:rFonts w:ascii="楷体" w:cs="楷体" w:eastAsia="楷体" w:hAnsi="楷体"/>
          <w:sz w:val="24"/>
          <w:szCs w:val="24"/>
        </w:rPr>
        <w:t xml:space="preserve">奶奶您别担心。我答应您，明年春节我们一家人一起包饺子，请您讲讲老家的故事，好吗？</w:t>
      </w:r>
    </w:p>
    <w:p>
      <w:pPr>
        <w:spacing w:after="0" w:before="240"/>
      </w:pPr>
    </w:p>
    <w:p>
      <w:pPr>
        <w:spacing w:after="18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Question 2, Text 2 — Radio broadcast</w:t>
      </w:r>
    </w:p>
    <w:p>
      <w:pPr>
        <w:tabs>
          <w:tab w:val="left" w:pos="1600"/>
        </w:tabs>
        <w:spacing w:after="80" w:before="80" w:line="360"/>
        <w:ind w:left="1600" w:hanging="160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Female</w:t>
      </w:r>
      <w:r>
        <w:t xml:space="preserve">:	</w:t>
      </w:r>
      <w:r>
        <w:rPr>
          <w:rFonts w:ascii="楷体" w:cs="楷体" w:eastAsia="楷体" w:hAnsi="楷体"/>
          <w:sz w:val="24"/>
          <w:szCs w:val="24"/>
        </w:rPr>
        <w:t xml:space="preserve">亲爱的同学们，大家好！我是图书馆学生干事小林。今天我要向大家介绍一个我们学校刚刚启动的环保项目，二手书漂流计划。这个计划的目的，是让闲置的书本重新流动起来，既减少资源浪费，也让更多同学受益。参与方式很简单：把你看过的、不再需要的书带到图书馆门口的漂流书架上，并选择你感兴趣的书带回家阅读。我们鼓励大家在每本书的内页写下一句话，分享你的读后感或推荐理由。这样，一本书就不只是知识的载体，更成为同学之间精神交流的桥梁。让我们携手成为环保的实践者，让书本的生命因为我们而延续！</w:t>
      </w:r>
    </w:p>
    <w:p>
      <w:pPr>
        <w:spacing w:after="0" w:before="240"/>
      </w:pPr>
    </w:p>
    <w:p>
      <w:pPr>
        <w:spacing w:after="180" w:before="240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Question 3, Text 3A — Podcast</w:t>
      </w:r>
    </w:p>
    <w:p>
      <w:pPr>
        <w:tabs>
          <w:tab w:val="left" w:pos="1600"/>
        </w:tabs>
        <w:spacing w:after="80" w:before="80" w:line="360"/>
        <w:ind w:left="1600" w:hanging="1600"/>
      </w:pPr>
      <w:r>
        <w:rPr>
          <w:rFonts w:ascii="Arial" w:cs="Arial" w:eastAsia="Arial" w:hAnsi="Arial"/>
          <w:b/>
          <w:bCs/>
          <w:smallCaps/>
          <w:sz w:val="22"/>
          <w:szCs w:val="22"/>
        </w:rPr>
        <w:t xml:space="preserve">Male</w:t>
      </w:r>
      <w:r>
        <w:t xml:space="preserve">:	</w:t>
      </w:r>
      <w:r>
        <w:rPr>
          <w:rFonts w:ascii="楷体" w:cs="楷体" w:eastAsia="楷体" w:hAnsi="楷体"/>
          <w:sz w:val="24"/>
          <w:szCs w:val="24"/>
        </w:rPr>
        <w:t xml:space="preserve">亲爱的听众朋友们，大家好。今天，我们来聊聊一个跟年轻人息息相关的话题：社交媒体对友谊的影响。如今，每个青少年的手机里都有几个社交平台。你的朋友圈中也许有几百个“好友”，但其中有几个是真正了解你的呢？很多年轻人沉迷于点赞和评论，把社交简化为屏幕上的几行字，反而忽略了面对面的真情交流。心理学家指出，过度依赖社交媒体可能导致孤独感加深、焦虑增多。然而，社交媒体也并非一无是处。对于一些性格内向的同学，它提供了表达自我的平台；对于跨国友谊，它则突破了地域的限制。关键在于，我们如何理性地使用这些工具，让科技服务于真情，而不是取代真情。</w:t>
      </w:r>
    </w:p>
    <w:p>
      <w:pPr>
        <w:spacing w:after="0" w:before="240"/>
      </w:pPr>
    </w:p>
    <w:p>
      <w:pPr>
        <w:spacing w:after="0" w:before="480"/>
        <w:jc w:val="center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— End of transcript —</w:t>
      </w:r>
    </w:p>
    <w:sectPr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–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–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image" Target="media/image1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2026-06-30T08:51:26.684Z</dcterms:created>
  <dcterms:modified xsi:type="dcterms:W3CDTF">2026-06-30T08:51:26.684Z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